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452</w:t>
      </w:r>
    </w:p>
    <w:p>
      <w:r>
        <w:t>Bundesgericht (BGE), 1993-12-14, FR</w:t>
      </w:r>
    </w:p>
    <w:p>
      <w:r>
        <w:rPr>
          <w:b/>
        </w:rPr>
        <w:t xml:space="preserve">Quelle: </w:t>
      </w:r>
      <w:r>
        <w:t>https://mcp.opencaselaw.ch/entscheid/bge_119 II 452</w:t>
      </w:r>
    </w:p>
    <w:p>
      <w:r>
        <w:t>FR: ATF 119 II 452</w:t>
      </w:r>
    </w:p>
    <w:p>
      <w:r>
        <w:t>IT: DTF 119 II 452</w:t>
      </w:r>
    </w:p>
    <w:p>
      <w:pPr>
        <w:pStyle w:val="Heading2"/>
      </w:pPr>
      <w:r>
        <w:t>Regeste</w:t>
      </w:r>
    </w:p>
    <w:p>
      <w:r>
        <w:t>Regeste Inkassoauftrag; Klagebefugnis; Einreden des Schuldners. Der Vertreter, der eine auf seinen Namen lautende Schuldanerkennung besitzt, ist berechtigt, die ihm zum Inkasso übertragene Forderung in eigenem Namen, aber auf Rechnung des Vertretenen einzutreiben. Der Schuldner kann ihm nur Einreden entgegenhalten, die die Vertretungsbefugnis oder die Forderung an sich betreffen.</w:t>
      </w:r>
    </w:p>
    <w:p>
      <w:pPr>
        <w:pStyle w:val="Heading2"/>
      </w:pPr>
      <w:r>
        <w:t>Erwägungen</w:t>
      </w:r>
    </w:p>
    <w:p>
      <w:r>
        <w:rPr>
          <w:b/>
        </w:rPr>
        <w:t>E. 1</w:t>
      </w:r>
    </w:p>
    <w:p>
      <w:r>
        <w:t>a) X. S.A. est titulaire de la créance litigieuse. Il n'est pas établi qu'elle ait valablement cédé cette créance - à titre fiduciaire - à la défenderesse (Inkassoabtretung; cf. SPIRIG, Commentaire zurichois, Vorbemerkungen zu Art. 164 - 174 OR , n. 120 et 226). En revanche, il est constant qu'elle lui a conféré le pouvoir de l'encaisser (Inkassovollmacht; cf. SPIRIG, ibid.). b) Le pouvoir d'encaissement découle en l'occurrence d'un mandat, en vertu duquel la défenderesse était tenue de recouvrer la créance et d'en remettre le montant à X. S.A. (SCHRANER, Commentaire zurichois, n. 72 ad art. 68 CO ). Une fois porté à la connaissance du demandeur, un tel pouvoir avait pour effet de permettre à celui-ci de s'acquitter entre les mains de la représentante avec effet libératoire aussi longtemps qu'une révocation ou une restriction de ce pouvoir ne lui avait pas été communiquée (SCHRANER, op.cit., n. 74 ad art. 68 CO ; WEBER, Commentaire bernois, n. 94 ad art. 68 CO ). En signant la reconnaissance de dette dans laquelle la défenderesse était désignée en qualité de créancière, le demandeur a admis devoir s'exécuter entre les mains de la représentante. Ce faisant, il a permis à la défenderesse de recouvrer la créance litigieuse en son nom à elle, mais pour le compte de la créancière, alors que, faute d'une telle reconnaissance de dette, la représentante n'eût pu agir qu'au nom de la créancière. c) Sous l'angle du droit matériel, le pouvoir d'encaisser la créance en son propre nom, que le débiteur avait expressément reconnu à la représentante, n'impliquait pas un changement du titulaire de la créance. La reconnaissance de dette abstraite du demandeur portait uniquement sur le pouvoir d'encaissement, en ce sens qu'elle autorisait la représentante à requérir, le cas échéant, la mainlevée provisoire en son propre nom ( art. 82 al. 1 LP ), une telle faculté étant réservée en principe à la personne désignée comme créancière dans la BGE 119 II 452 S. 455 reconnaissance de dette (cf. PANCHAUD/CAPREZ, La mainlevée d'opposition, § 17, phrase introductive). Le pouvoir du représentant d'encaisser une créance en son propre nom, mais pour le compte du représenté, se distingue de la représentation indirecte par le fait que le représentant nanti de ce pouvoir n'est pas le titulaire de la créance à recouvrer, contrairement au représentant indirect qui s'est fait céder une créance aux fins d'encaissement. Cette distinction revêt notamment de l'importance en ce qui concerne les moyens de défense dont dispose le débiteur à l'encontre de celui qui l'actionne (voir ci-dessous, let. d). d) En droit suisse, la reconnaissance de dette abstraite a pour objet une obligation causale ( ATF 105 II 183 consid. 4a et les références). Lorsque le créancier a conféré un pouvoir d'encaissement à un tiers, il sied de bien distinguer entre la cause de la créance (le rapport juridique à la base de la reconnaissance) et la cause du pouvoir d'encaissement (la procuration). Le débiteur peut se fonder sur l'une ou l'autre cause pour justifier son refus de payer, en contestant l'existence soit d'une obligation exigible, soit du pouvoir d'encaissement. Le représentant qui est au bénéfice d'une reconnaissance de dette libellée à son nom a donc qualité pour recouvrer en son propre nom, mais pour le compte du représenté, la créance que celui-ci l'a chargé d'encaisser. Le débiteur peut s'y opposer en faisant valoir que le pouvoir d'encaissement n'a jamais existé ou a été révoqué, de sorte que le bénéficiaire de la reconnaissance de dette n'a pas ou n'a plus le droit de réclamer le paiement du montant de la créance. Ce moyen de défense se rapporte à la cause du pouvoir d'encaissement. Mais le débiteur peut aussi contester devoir quoi que ce soit au titre du rapport juridique de base censé fonder la prétention litigieuse. Une telle objection a trait à la cause de la créance. En revanche, il ne peut pas opposer au représentant, à qui il a expressément reconnu le droit d'exiger la prestation en son propre nom, le fait qu'il n'est pas le titulaire de la créance déduite en justice, car, précisément, le représentant ne prétend pas avoir cette qualité mais se prévaut uniquement du pouvoir d'encaissement dont le débiteur a admis l'existence en signant la reconnaissance de dette.</w:t>
      </w:r>
    </w:p>
    <w:p>
      <w:r>
        <w:rPr>
          <w:b/>
        </w:rPr>
        <w:t>E. 2</w:t>
      </w:r>
    </w:p>
    <w:p>
      <w:r>
        <w:t>Appliqués au cas particulier, ces principes conduisent à admettre que la cour cantonale ne pouvait pas faire droit aux conclusions libératoires du demandeur du seul fait que la défenderesse n'était pas titulaire de la créance déduite en justice. En effet, comme la défenderesse, se fondant sur la reconnaissance de dette souscrite en sa faveur, n'entendait exercer que le droit de recouvrer en son BGE 119 II 452 S. 456 propre nom la créance que son titulaire l'avait chargée d'encaisser, le demandeur ne pouvait lui opposer que les exceptions relatives aux pouvoirs de représentation qui lui avaient été conférés. Or, il s'en est abstenu. Dès lors, les juges précédents ont violé le droit fédéral en déniant à la défenderesse le droit de recouvrer la créance litigieuse du seul fait qu'elle n'en a jamais été le sujet actif. Cela étant, le demandeur n'en conservait pas moins le droit de s'en prendre à la créance en tant que telle, pour en contester l'existence ou le montant, et il a fait usage de cette faculté. Par conséquent, il y a lieu d'annuler le jugement attaqué et de renvoyer la cause à la Cour civile pour qu'elle examine les moyens dirigés contre la créance même.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